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6EE27" w14:textId="77777777" w:rsidR="003F41A0" w:rsidRDefault="00000000">
      <w:pPr>
        <w:pStyle w:val="Heading1"/>
        <w:spacing w:before="0" w:after="120" w:line="275" w:lineRule="auto"/>
        <w:rPr>
          <w:rFonts w:ascii="Google Sans" w:eastAsia="Google Sans" w:hAnsi="Google Sans" w:cs="Google Sans"/>
          <w:color w:val="1B1C1D"/>
          <w:sz w:val="32"/>
          <w:szCs w:val="32"/>
        </w:rPr>
      </w:pPr>
      <w:r>
        <w:rPr>
          <w:rFonts w:ascii="Google Sans" w:eastAsia="Google Sans" w:hAnsi="Google Sans" w:cs="Google Sans"/>
          <w:color w:val="1B1C1D"/>
          <w:sz w:val="32"/>
          <w:szCs w:val="32"/>
        </w:rPr>
        <w:t>The Impact and Scalability of Digital Health Platforms for Chronic Disease Management and Eldercare</w:t>
      </w:r>
    </w:p>
    <w:p w14:paraId="24DB023F" w14:textId="77777777" w:rsidR="003F41A0"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I. Executive Summary</w:t>
      </w:r>
    </w:p>
    <w:p w14:paraId="00F1E795"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Digital health technologies, encompassing telehealth, remote patient monitoring (RPM), wearables, and artificial intelligence (AI)-powered applications, are increasingly pivotal in addressing the dual challenges of a burgeoning global aging population and the escalating prevalence of chronic diseases. This report investigates the effectiveness of these technologies in improving patient outcomes, reducing healthcare costs, and increasing access to care, particularly for elderly individuals and those with long-term conditions. Furthermore, it examines the critical factors influencing the scalability of these digital solutions.</w:t>
      </w:r>
    </w:p>
    <w:p w14:paraId="5B4DF78C"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Evidence indicates that digital health interventions can enhance chronic disease management by improving clinical indicators such as HbA1c in diabetes and blood pressure in hypertension, and by reducing hospital readmissions for conditions like heart failure and COPD. Patient engagement, medication adherence, and self-management capabilities are often bolstered through personalized digital tools. In eldercare, these technologies contribute to enhanced safety via fall detection, support medication management, offer cognitive assistance, and enable greater independence. However, the impact on broader quality of life metrics is still emerging, with some studies showing limited benefits over traditional care in specific contexts.</w:t>
      </w:r>
    </w:p>
    <w:p w14:paraId="591EAD72"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Economically, digital health demonstrates potential for significant cost savings by reducing hospitalizations, emergency department visits, and long-term care needs. RPM and telehealth, in particular, have shown cost-effectiveness, with savings often realized through optimized resource utilization and proactive interventions. Healthcare system efficiency is also improved through streamlined workflows facilitated by digital health records and data-driven decision-making.</w:t>
      </w:r>
    </w:p>
    <w:p w14:paraId="08F0CFD3"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Digital health significantly expands access to care, bridging geographical and socioeconomic gaps for rural and underserved populations, and addressing mobility challenges for the elderly. Nevertheless, barriers such as limited digital literacy, inconsistent broadband access, and the need for culturally tailored approaches persist and must be addressed to ensure equitable access.</w:t>
      </w:r>
    </w:p>
    <w:p w14:paraId="19618A3A"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scalability of digital health solutions is a multifaceted challenge extending beyond technological infrastructure. While robust cloud architecture, automated backend </w:t>
      </w:r>
      <w:r>
        <w:rPr>
          <w:rFonts w:ascii="Google Sans Text" w:eastAsia="Google Sans Text" w:hAnsi="Google Sans Text" w:cs="Google Sans Text"/>
          <w:color w:val="1B1C1D"/>
          <w:sz w:val="24"/>
          <w:szCs w:val="24"/>
        </w:rPr>
        <w:lastRenderedPageBreak/>
        <w:t>processes, and interoperability are foundational, regulatory landscapes, reimbursement models, user adoption dynamics, and data security are equally critical. The rapid pace of innovation, particularly in AI, often outstri быстрееs policy development, creating a "regulatory lag" that can hinder widespread deployment. Building trust among users, ensuring data privacy, and designing user-centric, equitable solutions are paramount for achieving scale.</w:t>
      </w:r>
    </w:p>
    <w:p w14:paraId="4E008BDE"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Successful digital health implementation often involves a convergence of technologies, fostering a shift from reactive to proactive care. Personalized interventions can create a positive feedback loop, enhancing engagement and outcomes. However, the "human touch" remains vital, with many successful models augmenting, rather than replacing, human caregivers and clinicians.</w:t>
      </w:r>
    </w:p>
    <w:p w14:paraId="0602915A"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Strategic recommendations include fostering greater interoperability through standardized data formats and APIs, aligning reimbursement models with clinical value and long-term outcomes, investing in digital literacy programs and equitable infrastructure, developing agile and clear regulatory pathways, championing user-centered design co-created with diverse patient populations, strengthening data privacy and cybersecurity frameworks, supporting rigorous real-world effectiveness research, and establishing comprehensive ethical guidelines for AI in healthcare. Addressing these areas systematically will be crucial to harnessing the full transformative potential of digital health for chronic disease management and eldercare globally.</w:t>
      </w:r>
    </w:p>
    <w:p w14:paraId="2B8EEB09" w14:textId="77777777" w:rsidR="003F41A0"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II. Introduction: The Evolving Landscape of Digital Health in Chronic Disease Management and Eldercare</w:t>
      </w:r>
    </w:p>
    <w:p w14:paraId="24DB7ABC"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confluence of two significant global demographic shifts—an aging population and the rising prevalence of chronic diseases—has created an unprecedented demand for innovative healthcare solutions. As individuals live longer, often with multiple long-term health conditions, traditional healthcare models face increasing strain in terms of capacity, cost, and accessibility.</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Digital health technologies have emerged as a powerful response to this imperative, offering the promise to transform healthcare delivery by enhancing efficiency, personalizing care, and broadening access for these vulnerable populations.</w:t>
      </w:r>
    </w:p>
    <w:p w14:paraId="13003632" w14:textId="77777777" w:rsidR="003F41A0"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The Imperative for Digital Solutions</w:t>
      </w:r>
    </w:p>
    <w:p w14:paraId="0A2BE2FA"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575B5F"/>
          <w:sz w:val="24"/>
          <w:szCs w:val="24"/>
          <w:vertAlign w:val="superscript"/>
        </w:rPr>
      </w:pPr>
      <w:r>
        <w:rPr>
          <w:rFonts w:ascii="Google Sans Text" w:eastAsia="Google Sans Text" w:hAnsi="Google Sans Text" w:cs="Google Sans Text"/>
          <w:color w:val="1B1C1D"/>
          <w:sz w:val="24"/>
          <w:szCs w:val="24"/>
        </w:rPr>
        <w:t xml:space="preserve">The global population is aging at an accelerated rate, with a corresponding increase </w:t>
      </w:r>
      <w:r>
        <w:rPr>
          <w:rFonts w:ascii="Google Sans Text" w:eastAsia="Google Sans Text" w:hAnsi="Google Sans Text" w:cs="Google Sans Text"/>
          <w:color w:val="1B1C1D"/>
          <w:sz w:val="24"/>
          <w:szCs w:val="24"/>
        </w:rPr>
        <w:lastRenderedPageBreak/>
        <w:t>in age-related chronic conditions.</w:t>
      </w:r>
      <w:r>
        <w:rPr>
          <w:rFonts w:ascii="Google Sans Text" w:eastAsia="Google Sans Text" w:hAnsi="Google Sans Text" w:cs="Google Sans Text"/>
          <w:color w:val="575B5F"/>
          <w:sz w:val="24"/>
          <w:szCs w:val="24"/>
          <w:vertAlign w:val="superscript"/>
        </w:rPr>
        <w:t>3</w:t>
      </w:r>
      <w:r>
        <w:rPr>
          <w:rFonts w:ascii="Google Sans Text" w:eastAsia="Google Sans Text" w:hAnsi="Google Sans Text" w:cs="Google Sans Text"/>
          <w:color w:val="1B1C1D"/>
          <w:sz w:val="24"/>
          <w:szCs w:val="24"/>
        </w:rPr>
        <w:t xml:space="preserve"> Simultaneously, chronic diseases such as diabetes, cardiovascular disorders, and respiratory illnesses represent a major and growing burden on healthcare systems worldwide.</w:t>
      </w:r>
      <w:r>
        <w:rPr>
          <w:rFonts w:ascii="Google Sans Text" w:eastAsia="Google Sans Text" w:hAnsi="Google Sans Text" w:cs="Google Sans Text"/>
          <w:color w:val="575B5F"/>
          <w:sz w:val="24"/>
          <w:szCs w:val="24"/>
          <w:vertAlign w:val="superscript"/>
        </w:rPr>
        <w:t>7</w:t>
      </w:r>
      <w:r>
        <w:rPr>
          <w:rFonts w:ascii="Google Sans Text" w:eastAsia="Google Sans Text" w:hAnsi="Google Sans Text" w:cs="Google Sans Text"/>
          <w:color w:val="1B1C1D"/>
          <w:sz w:val="24"/>
          <w:szCs w:val="24"/>
        </w:rPr>
        <w:t xml:space="preserve"> These conditions require ongoing management, frequent monitoring, and significant patient engagement, aspects where traditional episodic care often falls short. Digital health platforms and associated technologies offer a paradigm shift, enabling continuous care, empowering patients in self-management, and providing clinicians with richer data for informed decision-making. The demand for personalized and accessible care is a primary driver pushing digital health innovation forward.</w:t>
      </w:r>
      <w:r>
        <w:rPr>
          <w:rFonts w:ascii="Google Sans Text" w:eastAsia="Google Sans Text" w:hAnsi="Google Sans Text" w:cs="Google Sans Text"/>
          <w:color w:val="575B5F"/>
          <w:sz w:val="24"/>
          <w:szCs w:val="24"/>
          <w:vertAlign w:val="superscript"/>
        </w:rPr>
        <w:t>7</w:t>
      </w:r>
    </w:p>
    <w:p w14:paraId="50AF36E2" w14:textId="77777777" w:rsidR="003F41A0"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Defining Key Digital Health Technologies</w:t>
      </w:r>
    </w:p>
    <w:p w14:paraId="6CD9606E" w14:textId="77777777" w:rsidR="003F41A0"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Understanding the impact and scalability of digital health requires clarity on its core components:</w:t>
      </w:r>
    </w:p>
    <w:p w14:paraId="6A553E1D" w14:textId="77777777" w:rsidR="003F41A0"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Digital Health Platforms:</w:t>
      </w:r>
      <w:r>
        <w:rPr>
          <w:rFonts w:ascii="Google Sans Text" w:eastAsia="Google Sans Text" w:hAnsi="Google Sans Text" w:cs="Google Sans Text"/>
          <w:color w:val="1B1C1D"/>
          <w:sz w:val="24"/>
          <w:szCs w:val="24"/>
        </w:rPr>
        <w:t xml:space="preserve"> These are comprehensive systems utilizing information and communication technologies (ICT) to manage illnesses, health risks, promote wellness, and support the operational needs of healthcare organizations.</w:t>
      </w:r>
      <w:r>
        <w:rPr>
          <w:rFonts w:ascii="Google Sans Text" w:eastAsia="Google Sans Text" w:hAnsi="Google Sans Text" w:cs="Google Sans Text"/>
          <w:color w:val="575B5F"/>
          <w:sz w:val="24"/>
          <w:szCs w:val="24"/>
          <w:vertAlign w:val="superscript"/>
        </w:rPr>
        <w:t>9</w:t>
      </w:r>
      <w:r>
        <w:rPr>
          <w:rFonts w:ascii="Google Sans Text" w:eastAsia="Google Sans Text" w:hAnsi="Google Sans Text" w:cs="Google Sans Text"/>
          <w:color w:val="1B1C1D"/>
          <w:sz w:val="24"/>
          <w:szCs w:val="24"/>
        </w:rPr>
        <w:t xml:space="preserve"> More than just patient-facing applications, these platforms represent an ecosystem of digital innovations that permeate the entire healthcare value chain, from drug discovery and clinical trials to diagnostics and hospital management.</w:t>
      </w:r>
      <w:r>
        <w:rPr>
          <w:rFonts w:ascii="Google Sans Text" w:eastAsia="Google Sans Text" w:hAnsi="Google Sans Text" w:cs="Google Sans Text"/>
          <w:color w:val="575B5F"/>
          <w:sz w:val="24"/>
          <w:szCs w:val="24"/>
          <w:vertAlign w:val="superscript"/>
        </w:rPr>
        <w:t>10</w:t>
      </w:r>
      <w:r>
        <w:rPr>
          <w:rFonts w:ascii="Google Sans Text" w:eastAsia="Google Sans Text" w:hAnsi="Google Sans Text" w:cs="Google Sans Text"/>
          <w:color w:val="1B1C1D"/>
          <w:sz w:val="24"/>
          <w:szCs w:val="24"/>
        </w:rPr>
        <w:t xml:space="preserve"> A key function is the collection and analysis of extensive patient data to facilitate tailored treatment plans and interventions.</w:t>
      </w:r>
      <w:r>
        <w:rPr>
          <w:rFonts w:ascii="Google Sans Text" w:eastAsia="Google Sans Text" w:hAnsi="Google Sans Text" w:cs="Google Sans Text"/>
          <w:color w:val="575B5F"/>
          <w:sz w:val="24"/>
          <w:szCs w:val="24"/>
          <w:vertAlign w:val="superscript"/>
        </w:rPr>
        <w:t>7</w:t>
      </w:r>
      <w:r>
        <w:rPr>
          <w:rFonts w:ascii="Google Sans Text" w:eastAsia="Google Sans Text" w:hAnsi="Google Sans Text" w:cs="Google Sans Text"/>
          <w:color w:val="1B1C1D"/>
          <w:sz w:val="24"/>
          <w:szCs w:val="24"/>
        </w:rPr>
        <w:t xml:space="preserve"> These platforms integrate various tools like mobile apps, wearables, and telemedicine to transform healthcare delivery.</w:t>
      </w:r>
      <w:r>
        <w:rPr>
          <w:rFonts w:ascii="Google Sans Text" w:eastAsia="Google Sans Text" w:hAnsi="Google Sans Text" w:cs="Google Sans Text"/>
          <w:color w:val="575B5F"/>
          <w:sz w:val="24"/>
          <w:szCs w:val="24"/>
          <w:vertAlign w:val="superscript"/>
        </w:rPr>
        <w:t>7</w:t>
      </w:r>
    </w:p>
    <w:p w14:paraId="633CDCF0" w14:textId="77777777" w:rsidR="003F41A0"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Remote Patient Monitoring (RPM):</w:t>
      </w:r>
      <w:r>
        <w:rPr>
          <w:rFonts w:ascii="Google Sans Text" w:eastAsia="Google Sans Text" w:hAnsi="Google Sans Text" w:cs="Google Sans Text"/>
          <w:color w:val="1B1C1D"/>
          <w:sz w:val="24"/>
          <w:szCs w:val="24"/>
        </w:rPr>
        <w:t xml:space="preserve"> RPM is a specific application of telehealth wherein healthcare providers monitor patients outside of traditional clinical settings using digital medical devices. These devices can include weight scales, blood pressure monitors, pulse oximeters, and blood glucose meters.</w:t>
      </w:r>
      <w:r>
        <w:rPr>
          <w:rFonts w:ascii="Google Sans Text" w:eastAsia="Google Sans Text" w:hAnsi="Google Sans Text" w:cs="Google Sans Text"/>
          <w:color w:val="575B5F"/>
          <w:sz w:val="24"/>
          <w:szCs w:val="24"/>
          <w:vertAlign w:val="superscript"/>
        </w:rPr>
        <w:t>11</w:t>
      </w:r>
      <w:r>
        <w:rPr>
          <w:rFonts w:ascii="Google Sans Text" w:eastAsia="Google Sans Text" w:hAnsi="Google Sans Text" w:cs="Google Sans Text"/>
          <w:color w:val="1B1C1D"/>
          <w:sz w:val="24"/>
          <w:szCs w:val="24"/>
        </w:rPr>
        <w:t xml:space="preserve"> RPM allows for the continuous tracking of vital signs, medication adherence, and other critical health metrics, enabling timely interventions and adjustments to treatment plans, particularly for chronic and acute conditions.</w:t>
      </w:r>
      <w:r>
        <w:rPr>
          <w:rFonts w:ascii="Google Sans Text" w:eastAsia="Google Sans Text" w:hAnsi="Google Sans Text" w:cs="Google Sans Text"/>
          <w:color w:val="575B5F"/>
          <w:sz w:val="24"/>
          <w:szCs w:val="24"/>
          <w:vertAlign w:val="superscript"/>
        </w:rPr>
        <w:t>5</w:t>
      </w:r>
      <w:r>
        <w:rPr>
          <w:rFonts w:ascii="Google Sans Text" w:eastAsia="Google Sans Text" w:hAnsi="Google Sans Text" w:cs="Google Sans Text"/>
          <w:color w:val="1B1C1D"/>
          <w:sz w:val="24"/>
          <w:szCs w:val="24"/>
        </w:rPr>
        <w:t xml:space="preserve"> Some RPM systems support a "bring your own device" (BYOD) model, allowing patients to use their existing smartwatches or phones.</w:t>
      </w:r>
      <w:r>
        <w:rPr>
          <w:rFonts w:ascii="Google Sans Text" w:eastAsia="Google Sans Text" w:hAnsi="Google Sans Text" w:cs="Google Sans Text"/>
          <w:color w:val="575B5F"/>
          <w:sz w:val="24"/>
          <w:szCs w:val="24"/>
          <w:vertAlign w:val="superscript"/>
        </w:rPr>
        <w:t>12</w:t>
      </w:r>
    </w:p>
    <w:p w14:paraId="30F4CD70" w14:textId="77777777" w:rsidR="003F41A0"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Telehealth/Telemedicine:</w:t>
      </w:r>
      <w:r>
        <w:rPr>
          <w:rFonts w:ascii="Google Sans Text" w:eastAsia="Google Sans Text" w:hAnsi="Google Sans Text" w:cs="Google Sans Text"/>
          <w:color w:val="1B1C1D"/>
          <w:sz w:val="24"/>
          <w:szCs w:val="24"/>
        </w:rPr>
        <w:t xml:space="preserve"> This refers to the use of digital communication technologies, such as video calls, secure messaging, and online platforms, to provide medical services, consultations, and health education remotely.</w:t>
      </w:r>
      <w:r>
        <w:rPr>
          <w:rFonts w:ascii="Google Sans Text" w:eastAsia="Google Sans Text" w:hAnsi="Google Sans Text" w:cs="Google Sans Text"/>
          <w:color w:val="575B5F"/>
          <w:sz w:val="24"/>
          <w:szCs w:val="24"/>
          <w:vertAlign w:val="superscript"/>
        </w:rPr>
        <w:t>13</w:t>
      </w:r>
      <w:r>
        <w:rPr>
          <w:rFonts w:ascii="Google Sans Text" w:eastAsia="Google Sans Text" w:hAnsi="Google Sans Text" w:cs="Google Sans Text"/>
          <w:color w:val="1B1C1D"/>
          <w:sz w:val="24"/>
          <w:szCs w:val="24"/>
        </w:rPr>
        <w:t xml:space="preserve"> It is an umbrella term that includes various forms of virtual care, store-and-forward imaging, and synchronous or asynchronous communication between patients </w:t>
      </w:r>
      <w:r>
        <w:rPr>
          <w:rFonts w:ascii="Google Sans Text" w:eastAsia="Google Sans Text" w:hAnsi="Google Sans Text" w:cs="Google Sans Text"/>
          <w:color w:val="1B1C1D"/>
          <w:sz w:val="24"/>
          <w:szCs w:val="24"/>
        </w:rPr>
        <w:lastRenderedPageBreak/>
        <w:t>and providers.</w:t>
      </w:r>
      <w:r>
        <w:rPr>
          <w:rFonts w:ascii="Google Sans Text" w:eastAsia="Google Sans Text" w:hAnsi="Google Sans Text" w:cs="Google Sans Text"/>
          <w:color w:val="575B5F"/>
          <w:sz w:val="24"/>
          <w:szCs w:val="24"/>
          <w:vertAlign w:val="superscript"/>
        </w:rPr>
        <w:t>14</w:t>
      </w:r>
      <w:r>
        <w:rPr>
          <w:rFonts w:ascii="Google Sans Text" w:eastAsia="Google Sans Text" w:hAnsi="Google Sans Text" w:cs="Google Sans Text"/>
          <w:color w:val="1B1C1D"/>
          <w:sz w:val="24"/>
          <w:szCs w:val="24"/>
        </w:rPr>
        <w:t xml:space="preserve"> Telehealth aims to improve convenience, accessibility, and continuity of care, especially for those with travel limitations or in underserved areas.</w:t>
      </w:r>
      <w:r>
        <w:rPr>
          <w:rFonts w:ascii="Google Sans Text" w:eastAsia="Google Sans Text" w:hAnsi="Google Sans Text" w:cs="Google Sans Text"/>
          <w:color w:val="575B5F"/>
          <w:sz w:val="24"/>
          <w:szCs w:val="24"/>
          <w:vertAlign w:val="superscript"/>
        </w:rPr>
        <w:t>14</w:t>
      </w:r>
    </w:p>
    <w:p w14:paraId="3A7A0AE5" w14:textId="77777777" w:rsidR="003F41A0"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Wearable Devices:</w:t>
      </w:r>
      <w:r>
        <w:rPr>
          <w:rFonts w:ascii="Google Sans Text" w:eastAsia="Google Sans Text" w:hAnsi="Google Sans Text" w:cs="Google Sans Text"/>
          <w:color w:val="1B1C1D"/>
          <w:sz w:val="24"/>
          <w:szCs w:val="24"/>
        </w:rPr>
        <w:t xml:space="preserve"> These are electronic devices worn on the body, such as smartwatches, fitness trackers, biosensor patches, and smart clothing, that continuously collect, transmit, and often analyze health and activity data.</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Initially focused on fitness tracking, modern wearables can monitor a wide array of physiological parameters including heart rate, sleep patterns, blood oxygen levels, respiratory rate, skin temperature, and even perform electrocardiograms (ECGs).</w:t>
      </w:r>
      <w:r>
        <w:rPr>
          <w:rFonts w:ascii="Google Sans Text" w:eastAsia="Google Sans Text" w:hAnsi="Google Sans Text" w:cs="Google Sans Text"/>
          <w:color w:val="575B5F"/>
          <w:sz w:val="24"/>
          <w:szCs w:val="24"/>
          <w:vertAlign w:val="superscript"/>
        </w:rPr>
        <w:t>15</w:t>
      </w:r>
      <w:r>
        <w:rPr>
          <w:rFonts w:ascii="Google Sans Text" w:eastAsia="Google Sans Text" w:hAnsi="Google Sans Text" w:cs="Google Sans Text"/>
          <w:color w:val="1B1C1D"/>
          <w:sz w:val="24"/>
          <w:szCs w:val="24"/>
        </w:rPr>
        <w:t xml:space="preserve"> This data is invaluable for remote patient monitoring, early detection of disease exacerbations, creating personalized treatment plans, and enhancing patient engagement.</w:t>
      </w:r>
      <w:r>
        <w:rPr>
          <w:rFonts w:ascii="Google Sans Text" w:eastAsia="Google Sans Text" w:hAnsi="Google Sans Text" w:cs="Google Sans Text"/>
          <w:color w:val="575B5F"/>
          <w:sz w:val="24"/>
          <w:szCs w:val="24"/>
          <w:vertAlign w:val="superscript"/>
        </w:rPr>
        <w:t>1</w:t>
      </w:r>
    </w:p>
    <w:p w14:paraId="7700B86C" w14:textId="77777777" w:rsidR="003F41A0"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AI-Powered Health Applications:</w:t>
      </w:r>
      <w:r>
        <w:rPr>
          <w:rFonts w:ascii="Google Sans Text" w:eastAsia="Google Sans Text" w:hAnsi="Google Sans Text" w:cs="Google Sans Text"/>
          <w:color w:val="1B1C1D"/>
          <w:sz w:val="24"/>
          <w:szCs w:val="24"/>
        </w:rPr>
        <w:t xml:space="preserve"> These applications leverage artificial intelligence (AI) and machine learning (ML) algorithms to analyze complex health data, thereby enhancing diagnostic accuracy, predicting health risks, personalizing treatment strategies, automating administrative tasks, and supporting clinical decision-making.</w:t>
      </w:r>
      <w:r>
        <w:rPr>
          <w:rFonts w:ascii="Google Sans Text" w:eastAsia="Google Sans Text" w:hAnsi="Google Sans Text" w:cs="Google Sans Text"/>
          <w:color w:val="575B5F"/>
          <w:sz w:val="24"/>
          <w:szCs w:val="24"/>
          <w:vertAlign w:val="superscript"/>
        </w:rPr>
        <w:t>7</w:t>
      </w:r>
      <w:r>
        <w:rPr>
          <w:rFonts w:ascii="Google Sans Text" w:eastAsia="Google Sans Text" w:hAnsi="Google Sans Text" w:cs="Google Sans Text"/>
          <w:color w:val="1B1C1D"/>
          <w:sz w:val="24"/>
          <w:szCs w:val="24"/>
        </w:rPr>
        <w:t xml:space="preserve"> AI is applied in various forms, including image recognition for medical scans, predictive modeling for disease outbreaks, natural language processing for clinical notes, virtual health assistants and chatbots for patient interaction, and tools for cognitive support and personalized medication management.</w:t>
      </w:r>
      <w:r>
        <w:rPr>
          <w:rFonts w:ascii="Google Sans Text" w:eastAsia="Google Sans Text" w:hAnsi="Google Sans Text" w:cs="Google Sans Text"/>
          <w:color w:val="575B5F"/>
          <w:sz w:val="24"/>
          <w:szCs w:val="24"/>
          <w:vertAlign w:val="superscript"/>
        </w:rPr>
        <w:t>19</w:t>
      </w:r>
    </w:p>
    <w:p w14:paraId="71B00124" w14:textId="77777777" w:rsidR="003F41A0" w:rsidRDefault="00000000">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digital health landscape is characterized by a significant convergence of these technologies. RPM systems, for instance, frequently incorporate data from wearable devices, with AI algorithms analyzing this continuous stream of information to generate actionable insights. These insights may then be delivered to patients and providers via digital health platforms, and follow-up consultations can occur through telehealth channels. This interconnectedness is a source of their transformative potential but also presents challenges for seamless implementation and integration into existing healthcare workflows.</w:t>
      </w:r>
    </w:p>
    <w:p w14:paraId="0828B04D"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A fundamental shift enabled by these technologies is the move from a reactive healthcare model—treating illnesses after they manifest—to a proactive and predictive one. Continuous data streams from RPM and wearables, when intelligently analyzed by AI, can identify subtle physiological changes or behavioral patterns indicative of impending health issues, often before symptoms become acute.</w:t>
      </w:r>
      <w:r>
        <w:rPr>
          <w:rFonts w:ascii="Google Sans Text" w:eastAsia="Google Sans Text" w:hAnsi="Google Sans Text" w:cs="Google Sans Text"/>
          <w:color w:val="575B5F"/>
          <w:sz w:val="24"/>
          <w:szCs w:val="24"/>
          <w:vertAlign w:val="superscript"/>
        </w:rPr>
        <w:t>1</w:t>
      </w:r>
      <w:r>
        <w:rPr>
          <w:rFonts w:ascii="Google Sans Text" w:eastAsia="Google Sans Text" w:hAnsi="Google Sans Text" w:cs="Google Sans Text"/>
          <w:color w:val="1B1C1D"/>
          <w:sz w:val="24"/>
          <w:szCs w:val="24"/>
        </w:rPr>
        <w:t xml:space="preserve"> This capability for early detection and intervention is a cornerstone of improving outcomes for chronic diseases and enhancing safety in eldercare. Successfully harnessing this </w:t>
      </w:r>
      <w:r>
        <w:rPr>
          <w:rFonts w:ascii="Google Sans Text" w:eastAsia="Google Sans Text" w:hAnsi="Google Sans Text" w:cs="Google Sans Text"/>
          <w:color w:val="1B1C1D"/>
          <w:sz w:val="24"/>
          <w:szCs w:val="24"/>
        </w:rPr>
        <w:lastRenderedPageBreak/>
        <w:t>potential requires a holistic approach, focusing on building integrated digital health ecosystems rather than deploying standalone tools, and ensuring these systems are robust, secure, and user-friendly for diverse populations.</w:t>
      </w:r>
    </w:p>
    <w:p w14:paraId="1C0034F2" w14:textId="77777777" w:rsidR="003F41A0"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III. The Impact of Digital Health on Patient Outcomes and Quality of Life</w:t>
      </w:r>
    </w:p>
    <w:p w14:paraId="4EFBD984"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 ultimate measure of digital health's success lies in its ability to improve patient outcomes and enhance their quality of life. This section examines the evidence for such impacts, focusing on chronic disease management and eldercare.</w:t>
      </w:r>
    </w:p>
    <w:p w14:paraId="2ED4803C" w14:textId="77777777" w:rsidR="003F41A0"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A. Enhancing Chronic Disease Management</w:t>
      </w:r>
    </w:p>
    <w:p w14:paraId="29484B20"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Digital health interventions offer numerous avenues to support individuals living with chronic conditions, from improving clinical markers to fostering better self-management.</w:t>
      </w:r>
    </w:p>
    <w:p w14:paraId="5576CF7C" w14:textId="77777777" w:rsidR="003F41A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General Effectiveness (Systematic Reviews &amp; Meta-Analyses):</w:t>
      </w:r>
    </w:p>
    <w:p w14:paraId="4A029F1D" w14:textId="77777777" w:rsidR="003F41A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The body of evidence on the effectiveness of digital health in chronic disease management is growing, though findings can vary by context and intervention type. A systematic review published in December 2024 indicated that various digital health solutions demonstrated effectiveness in improving patient outcomes, including enhanced adherence to treatment protocols, better clinical results (e.g., reduced blood glucose levels, improved blood pressure control), and increased patient satisfaction.22 This review also highlighted improved communication between patients and healthcare providers, contributing to more personalized care.22</w:t>
      </w:r>
    </w:p>
    <w:p w14:paraId="619EF7EC"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However, other comprehensive reviews suggest a more nuanced picture. A systematic review and meta-analysis focusing on European primary care settings, updated in February 2025, found that digital health interventions have not yet demonstrated substantial benefits over traditional care for many chronic disease outcomes, such as hospitalizations, depressive symptoms, anxiety, HbA1c, diastolic blood pressure, weight, or overall quality of life.</w:t>
      </w:r>
      <w:r>
        <w:rPr>
          <w:rFonts w:ascii="Google Sans Text" w:eastAsia="Google Sans Text" w:hAnsi="Google Sans Text" w:cs="Google Sans Text"/>
          <w:color w:val="575B5F"/>
          <w:sz w:val="24"/>
          <w:szCs w:val="24"/>
          <w:vertAlign w:val="superscript"/>
        </w:rPr>
        <w:t>23</w:t>
      </w:r>
      <w:r>
        <w:rPr>
          <w:rFonts w:ascii="Google Sans Text" w:eastAsia="Google Sans Text" w:hAnsi="Google Sans Text" w:cs="Google Sans Text"/>
          <w:color w:val="1B1C1D"/>
          <w:sz w:val="24"/>
          <w:szCs w:val="24"/>
        </w:rPr>
        <w:t xml:space="preserve"> A notable exception was a small but statistically significant improvement in systolic blood pressure.</w:t>
      </w:r>
      <w:r>
        <w:rPr>
          <w:rFonts w:ascii="Google Sans Text" w:eastAsia="Google Sans Text" w:hAnsi="Google Sans Text" w:cs="Google Sans Text"/>
          <w:color w:val="575B5F"/>
          <w:sz w:val="24"/>
          <w:szCs w:val="24"/>
          <w:vertAlign w:val="superscript"/>
        </w:rPr>
        <w:t>23</w:t>
      </w:r>
      <w:r>
        <w:rPr>
          <w:rFonts w:ascii="Google Sans Text" w:eastAsia="Google Sans Text" w:hAnsi="Google Sans Text" w:cs="Google Sans Text"/>
          <w:color w:val="1B1C1D"/>
          <w:sz w:val="24"/>
          <w:szCs w:val="24"/>
        </w:rPr>
        <w:t xml:space="preserve"> This disparity in findings underscores that the design of the digital intervention, the specific population, the healthcare setting, and the outcomes measured heavily influence perceived effectiveness.</w:t>
      </w:r>
    </w:p>
    <w:p w14:paraId="2A99F127" w14:textId="77777777" w:rsidR="003F41A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Patient-centered digital health records (PCDHRs) represent another facet of digital health. A systematic review found that PCDHRs are potentially associated with considerable beneficial effects on healthcare utilization (particularly the use of </w:t>
      </w:r>
      <w:r>
        <w:rPr>
          <w:rFonts w:ascii="Google Sans Text" w:eastAsia="Google Sans Text" w:hAnsi="Google Sans Text" w:cs="Google Sans Text"/>
          <w:color w:val="1B1C1D"/>
          <w:sz w:val="24"/>
          <w:szCs w:val="24"/>
        </w:rPr>
        <w:lastRenderedPageBreak/>
        <w:t>recommended care services), treatment adherence, and self-management or self-efficacy.</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sz w:val="24"/>
          <w:szCs w:val="24"/>
        </w:rPr>
        <w:t xml:space="preserve"> The benefits appear more pronounced when these digital records incorporate active features that encourage patient interaction and participation, rather than merely providing passive access to information. However, this review also noted that beneficial effects were less frequently observed among patients with a high disease burden and in studies of high methodological quality, suggesting that some reported benefits might be overestimated or context-specific.</w:t>
      </w:r>
      <w:r>
        <w:rPr>
          <w:rFonts w:ascii="Google Sans Text" w:eastAsia="Google Sans Text" w:hAnsi="Google Sans Text" w:cs="Google Sans Text"/>
          <w:color w:val="575B5F"/>
          <w:sz w:val="24"/>
          <w:szCs w:val="24"/>
          <w:vertAlign w:val="superscript"/>
        </w:rPr>
        <w:t>24</w:t>
      </w:r>
      <w:r>
        <w:rPr>
          <w:rFonts w:ascii="Google Sans Text" w:eastAsia="Google Sans Text" w:hAnsi="Google Sans Text" w:cs="Google Sans Text"/>
          <w:color w:val="1B1C1D"/>
          <w:sz w:val="24"/>
          <w:szCs w:val="24"/>
        </w:rPr>
        <w:t xml:space="preserve"> The rigor of evaluation studies is therefore critical in accurately assessing impact.</w:t>
      </w:r>
    </w:p>
    <w:p w14:paraId="6EC52587" w14:textId="77777777" w:rsidR="003F41A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Impact on Specific Clinical Indicators:</w:t>
      </w:r>
    </w:p>
    <w:p w14:paraId="1C3DAD5F" w14:textId="77777777" w:rsidR="003F41A0"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The impact of digital health technologies is often most clearly seen in specific clinical markers relevant to particular chronic diseases.</w:t>
      </w:r>
    </w:p>
    <w:p w14:paraId="0530DCC6" w14:textId="77777777" w:rsidR="003F41A0"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Diabetes:</w:t>
      </w:r>
      <w:r>
        <w:rPr>
          <w:rFonts w:ascii="Google Sans Text" w:eastAsia="Google Sans Text" w:hAnsi="Google Sans Text" w:cs="Google Sans Text"/>
          <w:color w:val="1B1C1D"/>
          <w:sz w:val="24"/>
          <w:szCs w:val="24"/>
        </w:rPr>
        <w:t xml:space="preserve"> Digital interventions have shown considerable promise in diabetes management. Remote Patient Monitoring (RPM) programs, often incorporating connected glucometers and telehealth support, have been linked to reductions in Hemoglobin A1c (HbA1c) levels.</w:t>
      </w:r>
      <w:r>
        <w:rPr>
          <w:rFonts w:ascii="Google Sans Text" w:eastAsia="Google Sans Text" w:hAnsi="Google Sans Text" w:cs="Google Sans Text"/>
          <w:color w:val="575B5F"/>
          <w:sz w:val="24"/>
          <w:szCs w:val="24"/>
          <w:vertAlign w:val="superscript"/>
        </w:rPr>
        <w:t>25</w:t>
      </w:r>
      <w:r>
        <w:rPr>
          <w:rFonts w:ascii="Google Sans Text" w:eastAsia="Google Sans Text" w:hAnsi="Google Sans Text" w:cs="Google Sans Text"/>
          <w:color w:val="1B1C1D"/>
          <w:sz w:val="24"/>
          <w:szCs w:val="24"/>
        </w:rPr>
        <w:t xml:space="preserve"> For example, the Summerhill Hospital's RPM program for type 2 diabetes aimed to reduce the number of ACO enrollees with HbA1c&gt;9% by 25%.</w:t>
      </w:r>
      <w:r>
        <w:rPr>
          <w:rFonts w:ascii="Google Sans Text" w:eastAsia="Google Sans Text" w:hAnsi="Google Sans Text" w:cs="Google Sans Text"/>
          <w:color w:val="575B5F"/>
          <w:sz w:val="24"/>
          <w:szCs w:val="24"/>
          <w:vertAlign w:val="superscript"/>
        </w:rPr>
        <w:t>25</w:t>
      </w:r>
      <w:r>
        <w:rPr>
          <w:rFonts w:ascii="Google Sans Text" w:eastAsia="Google Sans Text" w:hAnsi="Google Sans Text" w:cs="Google Sans Text"/>
          <w:color w:val="1B1C1D"/>
          <w:sz w:val="24"/>
          <w:szCs w:val="24"/>
        </w:rPr>
        <w:t xml:space="preserve"> Broader digital health management systems have demonstrated an ability to increase fasting blood glucose control by over 10% in type 2 diabetes patients.</w:t>
      </w:r>
      <w:r>
        <w:rPr>
          <w:rFonts w:ascii="Google Sans Text" w:eastAsia="Google Sans Text" w:hAnsi="Google Sans Text" w:cs="Google Sans Text"/>
          <w:color w:val="575B5F"/>
          <w:sz w:val="24"/>
          <w:szCs w:val="24"/>
          <w:vertAlign w:val="superscript"/>
        </w:rPr>
        <w:t>27</w:t>
      </w:r>
      <w:r>
        <w:rPr>
          <w:rFonts w:ascii="Google Sans Text" w:eastAsia="Google Sans Text" w:hAnsi="Google Sans Text" w:cs="Google Sans Text"/>
          <w:color w:val="1B1C1D"/>
          <w:sz w:val="24"/>
          <w:szCs w:val="24"/>
        </w:rPr>
        <w:t xml:space="preserve"> Wearable technologies, such as Continuous Glucose Monitors (CGMs) paired with fitness trackers, have shown tangible benefits in case studies; one notable example reported an HbA1c reduction from 8.2% to 6.8% and a decrease in hypoglycemic episodes for an individual with Type 1 diabetes.</w:t>
      </w:r>
      <w:r>
        <w:rPr>
          <w:rFonts w:ascii="Google Sans Text" w:eastAsia="Google Sans Text" w:hAnsi="Google Sans Text" w:cs="Google Sans Text"/>
          <w:color w:val="575B5F"/>
          <w:sz w:val="24"/>
          <w:szCs w:val="24"/>
          <w:vertAlign w:val="superscript"/>
        </w:rPr>
        <w:t>28</w:t>
      </w:r>
      <w:r>
        <w:rPr>
          <w:rFonts w:ascii="Google Sans Text" w:eastAsia="Google Sans Text" w:hAnsi="Google Sans Text" w:cs="Google Sans Text"/>
          <w:color w:val="1B1C1D"/>
          <w:sz w:val="24"/>
          <w:szCs w:val="24"/>
        </w:rPr>
        <w:t xml:space="preserve"> Furthermore, AI-powered solutions are emerging to enhance diabetes care; for instance, the BeaGL system aims to predict glucose changes using machine learning, thereby reducing the cognitive burden on patients, particularly adolescents and young adults with Type 1 diabetes.</w:t>
      </w:r>
      <w:r>
        <w:rPr>
          <w:rFonts w:ascii="Google Sans Text" w:eastAsia="Google Sans Text" w:hAnsi="Google Sans Text" w:cs="Google Sans Text"/>
          <w:color w:val="575B5F"/>
          <w:sz w:val="24"/>
          <w:szCs w:val="24"/>
          <w:vertAlign w:val="superscript"/>
        </w:rPr>
        <w:t>29</w:t>
      </w:r>
    </w:p>
    <w:p w14:paraId="0E751464" w14:textId="0A55A5FE" w:rsidR="003F41A0" w:rsidRDefault="00000000" w:rsidP="00A043F9">
      <w:pPr>
        <w:numPr>
          <w:ilvl w:val="0"/>
          <w:numId w:val="10"/>
        </w:numPr>
        <w:pBdr>
          <w:top w:val="nil"/>
          <w:left w:val="nil"/>
          <w:bottom w:val="nil"/>
          <w:right w:val="nil"/>
          <w:between w:val="nil"/>
        </w:pBdr>
        <w:spacing w:line="275" w:lineRule="auto"/>
        <w:rPr>
          <w:rFonts w:ascii="Google Sans" w:eastAsia="Google Sans" w:hAnsi="Google Sans" w:cs="Google Sans"/>
        </w:rPr>
      </w:pPr>
      <w:r>
        <w:rPr>
          <w:rFonts w:ascii="Google Sans Text" w:eastAsia="Google Sans Text" w:hAnsi="Google Sans Text" w:cs="Google Sans Text"/>
          <w:b/>
          <w:color w:val="1B1C1D"/>
          <w:sz w:val="24"/>
          <w:szCs w:val="24"/>
        </w:rPr>
        <w:t>Cardiovascular Disease (CVD):</w:t>
      </w:r>
      <w:r>
        <w:rPr>
          <w:rFonts w:ascii="Google Sans Text" w:eastAsia="Google Sans Text" w:hAnsi="Google Sans Text" w:cs="Google Sans Text"/>
          <w:color w:val="1B1C1D"/>
          <w:sz w:val="24"/>
          <w:szCs w:val="24"/>
        </w:rPr>
        <w:t xml:space="preserve"> For heart failure patients, telehealth interventions that combine remote monitoring with virtual consultations have been associated with a reduced short-term risk of cardiovascular-related hospitalizations (Risk Ratio 0.71) and mortality (Risk Ratio 0.83).</w:t>
      </w:r>
      <w:r>
        <w:rPr>
          <w:rFonts w:ascii="Google Sans Text" w:eastAsia="Google Sans Text" w:hAnsi="Google Sans Text" w:cs="Google Sans Text"/>
          <w:color w:val="575B5F"/>
          <w:sz w:val="24"/>
          <w:szCs w:val="24"/>
          <w:vertAlign w:val="superscript"/>
        </w:rPr>
        <w:t>30</w:t>
      </w:r>
      <w:r>
        <w:rPr>
          <w:rFonts w:ascii="Google Sans Text" w:eastAsia="Google Sans Text" w:hAnsi="Google Sans Text" w:cs="Google Sans Text"/>
          <w:color w:val="1B1C1D"/>
          <w:sz w:val="24"/>
          <w:szCs w:val="24"/>
        </w:rPr>
        <w:t xml:space="preserve"> RPM has demonstrated the potential to achieve up to a 50% reduction in 30-day hospital readmissions for heart patients.</w:t>
      </w:r>
      <w:r>
        <w:rPr>
          <w:rFonts w:ascii="Google Sans Text" w:eastAsia="Google Sans Text" w:hAnsi="Google Sans Text" w:cs="Google Sans Text"/>
          <w:color w:val="575B5F"/>
          <w:sz w:val="24"/>
          <w:szCs w:val="24"/>
          <w:vertAlign w:val="superscript"/>
        </w:rPr>
        <w:t>31</w:t>
      </w:r>
      <w:r>
        <w:rPr>
          <w:rFonts w:ascii="Google Sans Text" w:eastAsia="Google Sans Text" w:hAnsi="Google Sans Text" w:cs="Google Sans Text"/>
          <w:color w:val="1B1C1D"/>
          <w:sz w:val="24"/>
          <w:szCs w:val="24"/>
        </w:rPr>
        <w:t xml:space="preserve"> Ochsner Health's Hypertension Digital Medicine Program, a comprehensive telehealth and RPM initiative, reported that 79% of program enrollees achieved blood pressure control, compared to only 26% in a usual care group.</w:t>
      </w:r>
      <w:r>
        <w:rPr>
          <w:rFonts w:ascii="Google Sans Text" w:eastAsia="Google Sans Text" w:hAnsi="Google Sans Text" w:cs="Google Sans Text"/>
          <w:color w:val="575B5F"/>
          <w:sz w:val="24"/>
          <w:szCs w:val="24"/>
          <w:vertAlign w:val="superscript"/>
        </w:rPr>
        <w:t>32</w:t>
      </w:r>
      <w:r>
        <w:rPr>
          <w:rFonts w:ascii="Google Sans Text" w:eastAsia="Google Sans Text" w:hAnsi="Google Sans Text" w:cs="Google Sans Text"/>
          <w:color w:val="1B1C1D"/>
          <w:sz w:val="24"/>
          <w:szCs w:val="24"/>
        </w:rPr>
        <w:t xml:space="preserve"> AI is also making inroads, with applications that predict cardiovascular risk from CT scans </w:t>
      </w:r>
      <w:r>
        <w:rPr>
          <w:rFonts w:ascii="Google Sans Text" w:eastAsia="Google Sans Text" w:hAnsi="Google Sans Text" w:cs="Google Sans Text"/>
          <w:color w:val="575B5F"/>
          <w:sz w:val="24"/>
          <w:szCs w:val="24"/>
          <w:vertAlign w:val="superscript"/>
        </w:rPr>
        <w:t>33</w:t>
      </w:r>
      <w:r>
        <w:rPr>
          <w:rFonts w:ascii="Google Sans Text" w:eastAsia="Google Sans Text" w:hAnsi="Google Sans Text" w:cs="Google Sans Text"/>
          <w:color w:val="1B1C1D"/>
          <w:sz w:val="24"/>
          <w:szCs w:val="24"/>
        </w:rPr>
        <w:t xml:space="preserve"> and aim to improve overall cardiovascular health at a population level through predictive analytics and personalized </w:t>
      </w:r>
      <w:r>
        <w:rPr>
          <w:rFonts w:ascii="Google Sans" w:eastAsia="Google Sans" w:hAnsi="Google Sans" w:cs="Google Sans"/>
        </w:rPr>
        <w:t xml:space="preserve">Works </w:t>
      </w:r>
      <w:r>
        <w:rPr>
          <w:rFonts w:ascii="Google Sans" w:eastAsia="Google Sans" w:hAnsi="Google Sans" w:cs="Google Sans"/>
        </w:rPr>
        <w:lastRenderedPageBreak/>
        <w:t>cited</w:t>
      </w:r>
    </w:p>
    <w:p w14:paraId="3C9BF9B9"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Healthcare wearable app development: benefits and challenges, accessed May 21, 2025, </w:t>
      </w:r>
      <w:hyperlink r:id="rId5">
        <w:r>
          <w:rPr>
            <w:rFonts w:ascii="Google Sans" w:eastAsia="Google Sans" w:hAnsi="Google Sans" w:cs="Google Sans"/>
            <w:color w:val="0000EE"/>
            <w:sz w:val="24"/>
            <w:szCs w:val="24"/>
            <w:u w:val="single"/>
          </w:rPr>
          <w:t>https://yalantis.com/blog/wearable-app-development-for-healthcare/</w:t>
        </w:r>
      </w:hyperlink>
    </w:p>
    <w:p w14:paraId="46C80D4A"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North America Digital Health Market Size Report, 2030, accessed May 21, 2025, </w:t>
      </w:r>
      <w:hyperlink r:id="rId6">
        <w:r>
          <w:rPr>
            <w:rFonts w:ascii="Google Sans" w:eastAsia="Google Sans" w:hAnsi="Google Sans" w:cs="Google Sans"/>
            <w:color w:val="0000EE"/>
            <w:sz w:val="24"/>
            <w:szCs w:val="24"/>
            <w:u w:val="single"/>
          </w:rPr>
          <w:t>https://www.grandviewresearch.com/industry-analysis/north-america-digital-health-market-report</w:t>
        </w:r>
      </w:hyperlink>
    </w:p>
    <w:p w14:paraId="03B2BCFB"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aging.jmir.org, accessed May 21, 2025, </w:t>
      </w:r>
      <w:hyperlink r:id="rId7">
        <w:r>
          <w:rPr>
            <w:rFonts w:ascii="Google Sans" w:eastAsia="Google Sans" w:hAnsi="Google Sans" w:cs="Google Sans"/>
            <w:color w:val="0000EE"/>
            <w:sz w:val="24"/>
            <w:szCs w:val="24"/>
            <w:u w:val="single"/>
          </w:rPr>
          <w:t>https://aging.jmir.org/2025/1/e60936/PDF</w:t>
        </w:r>
      </w:hyperlink>
    </w:p>
    <w:p w14:paraId="7B08AEA4"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Digital Health Market Growth, Drivers, and Opportunities, accessed May 21, 2025, </w:t>
      </w:r>
      <w:hyperlink r:id="rId8">
        <w:r>
          <w:rPr>
            <w:rFonts w:ascii="Google Sans" w:eastAsia="Google Sans" w:hAnsi="Google Sans" w:cs="Google Sans"/>
            <w:color w:val="0000EE"/>
            <w:sz w:val="24"/>
            <w:szCs w:val="24"/>
            <w:u w:val="single"/>
          </w:rPr>
          <w:t>https://www.marketsandmarkets.com/Market-Reports/digital-health-market-45458752.html</w:t>
        </w:r>
      </w:hyperlink>
    </w:p>
    <w:p w14:paraId="1720B208"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Remote Patient Monitoring Market Size, Share, Trends, Industry Analysis, and Forecast (2025 – 2031) - MarketResearch.com, accessed May 21, 2025, </w:t>
      </w:r>
      <w:hyperlink r:id="rId9">
        <w:r>
          <w:rPr>
            <w:rFonts w:ascii="Google Sans" w:eastAsia="Google Sans" w:hAnsi="Google Sans" w:cs="Google Sans"/>
            <w:color w:val="0000EE"/>
            <w:sz w:val="24"/>
            <w:szCs w:val="24"/>
            <w:u w:val="single"/>
          </w:rPr>
          <w:t>https://www.marketresearch.com/Diligence-Insights-v4290/Remote-Patient-Monitoring-Size-Share-40988613/</w:t>
        </w:r>
      </w:hyperlink>
    </w:p>
    <w:p w14:paraId="5C5A9879"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Adoption and Use of Telemedicine and Digital Health Services Among Older Adults in Light of the COVID-19 Pandemic: Repeated Cross-Sectional Analysis - JMIR Aging, accessed May 21, 2025, </w:t>
      </w:r>
      <w:hyperlink r:id="rId10">
        <w:r>
          <w:rPr>
            <w:rFonts w:ascii="Google Sans" w:eastAsia="Google Sans" w:hAnsi="Google Sans" w:cs="Google Sans"/>
            <w:color w:val="0000EE"/>
            <w:sz w:val="24"/>
            <w:szCs w:val="24"/>
            <w:u w:val="single"/>
          </w:rPr>
          <w:t>https://aging.jmir.org/2024/1/e52317/</w:t>
        </w:r>
      </w:hyperlink>
    </w:p>
    <w:p w14:paraId="1A98434F"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How Digital Health is Transforming Chronic Disease Management - Mahalo Health, accessed May 21, 2025, </w:t>
      </w:r>
      <w:hyperlink r:id="rId11">
        <w:r>
          <w:rPr>
            <w:rFonts w:ascii="Google Sans" w:eastAsia="Google Sans" w:hAnsi="Google Sans" w:cs="Google Sans"/>
            <w:color w:val="0000EE"/>
            <w:sz w:val="24"/>
            <w:szCs w:val="24"/>
            <w:u w:val="single"/>
          </w:rPr>
          <w:t>https://www.mahalo.health/insights/the-impact-of-digital-health-on-chronic-disease-management?utm_mpdid=$device:192a212e43514-015578f9e-3e455366-49a10-192a212e43615&amp;utm_mpdid=$device:ec3410fb-92ad-42fc-a443-b084385f117d</w:t>
        </w:r>
      </w:hyperlink>
    </w:p>
    <w:p w14:paraId="5E5AF002"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The Impact of Digital Health Technologies on Chronic Disease ..., accessed May 21, 2025, </w:t>
      </w:r>
      <w:hyperlink r:id="rId12">
        <w:r>
          <w:rPr>
            <w:rFonts w:ascii="Google Sans" w:eastAsia="Google Sans" w:hAnsi="Google Sans" w:cs="Google Sans"/>
            <w:color w:val="0000EE"/>
            <w:sz w:val="24"/>
            <w:szCs w:val="24"/>
            <w:u w:val="single"/>
          </w:rPr>
          <w:t>https://telehealthandmedicinetoday.com/index.php/journal/article/view/556/1256</w:t>
        </w:r>
      </w:hyperlink>
    </w:p>
    <w:p w14:paraId="61B67369"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What is digital health? Definition, technologies, benefits | Endava, accessed May 21, 2025, </w:t>
      </w:r>
      <w:hyperlink r:id="rId13">
        <w:r>
          <w:rPr>
            <w:rFonts w:ascii="Google Sans" w:eastAsia="Google Sans" w:hAnsi="Google Sans" w:cs="Google Sans"/>
            <w:color w:val="0000EE"/>
            <w:sz w:val="24"/>
            <w:szCs w:val="24"/>
            <w:u w:val="single"/>
          </w:rPr>
          <w:t>https://www.endava.com/glossary/digital-health</w:t>
        </w:r>
      </w:hyperlink>
    </w:p>
    <w:p w14:paraId="2F76788F"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Our Definition of Digital Health - HealthTech Alpha, accessed May 21, 2025, </w:t>
      </w:r>
      <w:hyperlink r:id="rId14">
        <w:r>
          <w:rPr>
            <w:rFonts w:ascii="Google Sans" w:eastAsia="Google Sans" w:hAnsi="Google Sans" w:cs="Google Sans"/>
            <w:color w:val="0000EE"/>
            <w:sz w:val="24"/>
            <w:szCs w:val="24"/>
            <w:u w:val="single"/>
          </w:rPr>
          <w:t>https://knowledge.healthtechalpha.com/digital-health/our-definition-of-digital-health/</w:t>
        </w:r>
      </w:hyperlink>
    </w:p>
    <w:p w14:paraId="6EFBD1A0"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psnet.ahrq.gov, accessed May 21, 2025, </w:t>
      </w:r>
      <w:hyperlink r:id="rId15" w:anchor=":~:text=Remote%20patient%20monitoring%20(RPM)%20is,oximeters%2C%20and%20blood%20glucose%20meters.">
        <w:r>
          <w:rPr>
            <w:rFonts w:ascii="Google Sans" w:eastAsia="Google Sans" w:hAnsi="Google Sans" w:cs="Google Sans"/>
            <w:color w:val="0000EE"/>
            <w:sz w:val="24"/>
            <w:szCs w:val="24"/>
            <w:u w:val="single"/>
          </w:rPr>
          <w:t>https://psnet.ahrq.gov/perspective/remote-patient-monitoring#:~:text=Remote%20patient%20monitoring%20(RPM)%20is,oximeters%2C%20and%20blood%20glucose%20meters.</w:t>
        </w:r>
      </w:hyperlink>
    </w:p>
    <w:p w14:paraId="4DA5D27F"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What Is Remote Patient Monitoring (RPM)? - Oracle, accessed May 21, 2025, </w:t>
      </w:r>
      <w:hyperlink r:id="rId16">
        <w:r>
          <w:rPr>
            <w:rFonts w:ascii="Google Sans" w:eastAsia="Google Sans" w:hAnsi="Google Sans" w:cs="Google Sans"/>
            <w:color w:val="0000EE"/>
            <w:sz w:val="24"/>
            <w:szCs w:val="24"/>
            <w:u w:val="single"/>
          </w:rPr>
          <w:t>https://www.oracle.com/health/remote-patient-monitoring/</w:t>
        </w:r>
      </w:hyperlink>
    </w:p>
    <w:p w14:paraId="6D893736"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www.updox.com, accessed May 21, 2025, </w:t>
      </w:r>
      <w:hyperlink r:id="rId17" w:anchor=":~:text=Telehealth%20uses%20computers%2C%20smart%20devices,suited%20to%20chronic%20disease%20management.">
        <w:r>
          <w:rPr>
            <w:rFonts w:ascii="Google Sans" w:eastAsia="Google Sans" w:hAnsi="Google Sans" w:cs="Google Sans"/>
            <w:color w:val="0000EE"/>
            <w:sz w:val="24"/>
            <w:szCs w:val="24"/>
            <w:u w:val="single"/>
          </w:rPr>
          <w:t>https://www.updox.com/blog/telehealth-and-chronic-disease-management/#:~:text=Telehealth%20uses%20computers%2C%20smart%20devices,suited%20to%20chronic%20disease%20management.</w:t>
        </w:r>
      </w:hyperlink>
    </w:p>
    <w:p w14:paraId="44181418" w14:textId="77777777" w:rsidR="003F41A0" w:rsidRDefault="00000000">
      <w:pPr>
        <w:numPr>
          <w:ilvl w:val="0"/>
          <w:numId w:val="9"/>
        </w:numPr>
        <w:pBdr>
          <w:top w:val="nil"/>
          <w:left w:val="nil"/>
          <w:bottom w:val="nil"/>
          <w:right w:val="nil"/>
          <w:between w:val="nil"/>
        </w:pBdr>
      </w:pPr>
      <w:r>
        <w:rPr>
          <w:rFonts w:ascii="Google Sans" w:eastAsia="Google Sans" w:hAnsi="Google Sans" w:cs="Google Sans"/>
          <w:sz w:val="24"/>
          <w:szCs w:val="24"/>
        </w:rPr>
        <w:t xml:space="preserve">What is Telehealth? — CTeL.org, accessed May 21, 2025, </w:t>
      </w:r>
      <w:hyperlink r:id="rId18">
        <w:r>
          <w:rPr>
            <w:rFonts w:ascii="Google Sans" w:eastAsia="Google Sans" w:hAnsi="Google Sans" w:cs="Google Sans"/>
            <w:color w:val="0000EE"/>
            <w:sz w:val="24"/>
            <w:szCs w:val="24"/>
            <w:u w:val="single"/>
          </w:rPr>
          <w:t>https://www.ctel.org/what-is-telehealth</w:t>
        </w:r>
      </w:hyperlink>
    </w:p>
    <w:p w14:paraId="50D29C23" w14:textId="12CDA5C4" w:rsidR="003F41A0" w:rsidRDefault="00000000" w:rsidP="00A043F9">
      <w:pPr>
        <w:numPr>
          <w:ilvl w:val="0"/>
          <w:numId w:val="9"/>
        </w:numPr>
        <w:pBdr>
          <w:top w:val="nil"/>
          <w:left w:val="nil"/>
          <w:bottom w:val="nil"/>
          <w:right w:val="nil"/>
          <w:between w:val="nil"/>
        </w:pBdr>
      </w:pPr>
      <w:r>
        <w:rPr>
          <w:rFonts w:ascii="Google Sans" w:eastAsia="Google Sans" w:hAnsi="Google Sans" w:cs="Google Sans"/>
          <w:sz w:val="24"/>
          <w:szCs w:val="24"/>
        </w:rPr>
        <w:t xml:space="preserve">Wearable Devices: A New Frontier in Chronic Disease Management for </w:t>
      </w:r>
    </w:p>
    <w:p w14:paraId="3ABCBA97" w14:textId="4F6E4F3A" w:rsidR="003F41A0" w:rsidRDefault="00000000" w:rsidP="00A043F9">
      <w:pPr>
        <w:pStyle w:val="ListParagraph"/>
        <w:numPr>
          <w:ilvl w:val="0"/>
          <w:numId w:val="24"/>
        </w:numPr>
        <w:pBdr>
          <w:top w:val="nil"/>
          <w:left w:val="nil"/>
          <w:bottom w:val="nil"/>
          <w:right w:val="nil"/>
          <w:between w:val="nil"/>
        </w:pBdr>
      </w:pPr>
      <w:r w:rsidRPr="00A043F9">
        <w:rPr>
          <w:rFonts w:ascii="Google Sans" w:eastAsia="Google Sans" w:hAnsi="Google Sans" w:cs="Google Sans"/>
          <w:sz w:val="24"/>
          <w:szCs w:val="24"/>
        </w:rPr>
        <w:lastRenderedPageBreak/>
        <w:t xml:space="preserve">Wearable Technologies To Manage Diabetes - Stellarix, accessed May 21, 2025, </w:t>
      </w:r>
      <w:hyperlink r:id="rId19">
        <w:r w:rsidRPr="00A043F9">
          <w:rPr>
            <w:rFonts w:ascii="Google Sans" w:eastAsia="Google Sans" w:hAnsi="Google Sans" w:cs="Google Sans"/>
            <w:color w:val="0000EE"/>
            <w:sz w:val="24"/>
            <w:szCs w:val="24"/>
            <w:u w:val="single"/>
          </w:rPr>
          <w:t>https://stellarix.com/insights/case-studies/wearable-technologies-to-manage-diabetes/</w:t>
        </w:r>
      </w:hyperlink>
    </w:p>
    <w:p w14:paraId="754EFE75" w14:textId="77777777" w:rsidR="003F41A0" w:rsidRDefault="00000000" w:rsidP="00A043F9">
      <w:pPr>
        <w:numPr>
          <w:ilvl w:val="0"/>
          <w:numId w:val="24"/>
        </w:numPr>
        <w:pBdr>
          <w:top w:val="nil"/>
          <w:left w:val="nil"/>
          <w:bottom w:val="nil"/>
          <w:right w:val="nil"/>
          <w:between w:val="nil"/>
        </w:pBdr>
      </w:pPr>
      <w:r>
        <w:rPr>
          <w:rFonts w:ascii="Google Sans" w:eastAsia="Google Sans" w:hAnsi="Google Sans" w:cs="Google Sans"/>
          <w:sz w:val="24"/>
          <w:szCs w:val="24"/>
        </w:rPr>
        <w:t xml:space="preserve">Advancing Wearable Biosensors for Congenital Heart Disease ..., accessed May 21, 2025, </w:t>
      </w:r>
      <w:hyperlink r:id="rId20">
        <w:r>
          <w:rPr>
            <w:rFonts w:ascii="Google Sans" w:eastAsia="Google Sans" w:hAnsi="Google Sans" w:cs="Google Sans"/>
            <w:color w:val="0000EE"/>
            <w:sz w:val="24"/>
            <w:szCs w:val="24"/>
            <w:u w:val="single"/>
          </w:rPr>
          <w:t>https://www.ahajournals.org/doi/10.1161/CIR.0000000000001225</w:t>
        </w:r>
      </w:hyperlink>
    </w:p>
    <w:sectPr w:rsidR="003F41A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oogle Sans">
    <w:charset w:val="00"/>
    <w:family w:val="auto"/>
    <w:pitch w:val="default"/>
    <w:embedRegular r:id="rId1" w:fontKey="{27F58363-CE2B-4E28-98F9-59999549C385}"/>
    <w:embedBold r:id="rId2" w:fontKey="{064BFC85-53F8-4F9C-8DED-2D851DA0FC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C44E1FD5-5276-40C0-856A-D48C6FACFAD8}"/>
    <w:embedItalic r:id="rId4" w:fontKey="{46E1CCC6-383D-4E8F-B41D-0E1932F045AC}"/>
  </w:font>
  <w:font w:name="Google Sans Text">
    <w:charset w:val="00"/>
    <w:family w:val="auto"/>
    <w:pitch w:val="default"/>
    <w:embedRegular r:id="rId5" w:fontKey="{AEC7D86C-FFCE-4A8D-B900-5C828F88A27F}"/>
    <w:embedBold r:id="rId6" w:fontKey="{5B04506C-E554-41A6-B6F4-183D5EA20911}"/>
  </w:font>
  <w:font w:name="Calibri">
    <w:panose1 w:val="020F0502020204030204"/>
    <w:charset w:val="00"/>
    <w:family w:val="swiss"/>
    <w:pitch w:val="variable"/>
    <w:sig w:usb0="E4002EFF" w:usb1="C200247B" w:usb2="00000009" w:usb3="00000000" w:csb0="000001FF" w:csb1="00000000"/>
    <w:embedRegular r:id="rId7" w:fontKey="{4B0C6994-A859-417C-A034-75BFC9CEB730}"/>
  </w:font>
  <w:font w:name="Cambria">
    <w:panose1 w:val="02040503050406030204"/>
    <w:charset w:val="00"/>
    <w:family w:val="roman"/>
    <w:pitch w:val="variable"/>
    <w:sig w:usb0="E00006FF" w:usb1="420024FF" w:usb2="02000000" w:usb3="00000000" w:csb0="0000019F" w:csb1="00000000"/>
    <w:embedRegular r:id="rId8" w:fontKey="{0CA8AB00-834A-44C4-8774-0C896CE50E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14265"/>
    <w:multiLevelType w:val="multilevel"/>
    <w:tmpl w:val="AFAC06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2594446"/>
    <w:multiLevelType w:val="multilevel"/>
    <w:tmpl w:val="E8BE7F5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DD56677"/>
    <w:multiLevelType w:val="multilevel"/>
    <w:tmpl w:val="4B92835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E131BBE"/>
    <w:multiLevelType w:val="multilevel"/>
    <w:tmpl w:val="EA88152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0303645"/>
    <w:multiLevelType w:val="multilevel"/>
    <w:tmpl w:val="7930A2F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43C4AF7"/>
    <w:multiLevelType w:val="hybridMultilevel"/>
    <w:tmpl w:val="AE72E892"/>
    <w:lvl w:ilvl="0" w:tplc="009CE160">
      <w:start w:val="95"/>
      <w:numFmt w:val="decimal"/>
      <w:lvlText w:val="%1."/>
      <w:lvlJc w:val="left"/>
      <w:pPr>
        <w:ind w:left="600" w:hanging="360"/>
      </w:pPr>
      <w:rPr>
        <w:rFonts w:ascii="Google Sans" w:eastAsia="Google Sans" w:hAnsi="Google Sans" w:cs="Google Sans" w:hint="default"/>
        <w:sz w:val="24"/>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2D0607A0"/>
    <w:multiLevelType w:val="multilevel"/>
    <w:tmpl w:val="8F0E9C6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3F467B9"/>
    <w:multiLevelType w:val="multilevel"/>
    <w:tmpl w:val="04D0FA6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35E71EF1"/>
    <w:multiLevelType w:val="multilevel"/>
    <w:tmpl w:val="8196D2EE"/>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ADA0978"/>
    <w:multiLevelType w:val="multilevel"/>
    <w:tmpl w:val="F88EF5C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3C4A272A"/>
    <w:multiLevelType w:val="multilevel"/>
    <w:tmpl w:val="7866418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FC10778"/>
    <w:multiLevelType w:val="multilevel"/>
    <w:tmpl w:val="9396524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4B5E2762"/>
    <w:multiLevelType w:val="multilevel"/>
    <w:tmpl w:val="14404F2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4C9F33A9"/>
    <w:multiLevelType w:val="multilevel"/>
    <w:tmpl w:val="413ACC1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4DAB68EA"/>
    <w:multiLevelType w:val="multilevel"/>
    <w:tmpl w:val="3146A34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4DC1260F"/>
    <w:multiLevelType w:val="multilevel"/>
    <w:tmpl w:val="902EB29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52037766"/>
    <w:multiLevelType w:val="multilevel"/>
    <w:tmpl w:val="9CE0BB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523D33F6"/>
    <w:multiLevelType w:val="multilevel"/>
    <w:tmpl w:val="32900A0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58F85B06"/>
    <w:multiLevelType w:val="multilevel"/>
    <w:tmpl w:val="77D839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64DA44E1"/>
    <w:multiLevelType w:val="multilevel"/>
    <w:tmpl w:val="69DC84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6C94315F"/>
    <w:multiLevelType w:val="multilevel"/>
    <w:tmpl w:val="7C86A3D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76277F5F"/>
    <w:multiLevelType w:val="multilevel"/>
    <w:tmpl w:val="7C368E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779B4E8D"/>
    <w:multiLevelType w:val="multilevel"/>
    <w:tmpl w:val="5D0876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7FF47E4B"/>
    <w:multiLevelType w:val="multilevel"/>
    <w:tmpl w:val="CCD8118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2116704744">
    <w:abstractNumId w:val="10"/>
  </w:num>
  <w:num w:numId="2" w16cid:durableId="1312057543">
    <w:abstractNumId w:val="11"/>
  </w:num>
  <w:num w:numId="3" w16cid:durableId="76251113">
    <w:abstractNumId w:val="15"/>
  </w:num>
  <w:num w:numId="4" w16cid:durableId="1973251203">
    <w:abstractNumId w:val="23"/>
  </w:num>
  <w:num w:numId="5" w16cid:durableId="1602178495">
    <w:abstractNumId w:val="9"/>
  </w:num>
  <w:num w:numId="6" w16cid:durableId="755829565">
    <w:abstractNumId w:val="12"/>
  </w:num>
  <w:num w:numId="7" w16cid:durableId="1282491699">
    <w:abstractNumId w:val="4"/>
  </w:num>
  <w:num w:numId="8" w16cid:durableId="157771565">
    <w:abstractNumId w:val="17"/>
  </w:num>
  <w:num w:numId="9" w16cid:durableId="475756659">
    <w:abstractNumId w:val="8"/>
  </w:num>
  <w:num w:numId="10" w16cid:durableId="1826581385">
    <w:abstractNumId w:val="2"/>
  </w:num>
  <w:num w:numId="11" w16cid:durableId="548225654">
    <w:abstractNumId w:val="16"/>
  </w:num>
  <w:num w:numId="12" w16cid:durableId="1988706468">
    <w:abstractNumId w:val="7"/>
  </w:num>
  <w:num w:numId="13" w16cid:durableId="32389978">
    <w:abstractNumId w:val="22"/>
  </w:num>
  <w:num w:numId="14" w16cid:durableId="172114858">
    <w:abstractNumId w:val="13"/>
  </w:num>
  <w:num w:numId="15" w16cid:durableId="915938942">
    <w:abstractNumId w:val="20"/>
  </w:num>
  <w:num w:numId="16" w16cid:durableId="1307780193">
    <w:abstractNumId w:val="21"/>
  </w:num>
  <w:num w:numId="17" w16cid:durableId="1549997916">
    <w:abstractNumId w:val="0"/>
  </w:num>
  <w:num w:numId="18" w16cid:durableId="862716635">
    <w:abstractNumId w:val="3"/>
  </w:num>
  <w:num w:numId="19" w16cid:durableId="420106575">
    <w:abstractNumId w:val="19"/>
  </w:num>
  <w:num w:numId="20" w16cid:durableId="419907031">
    <w:abstractNumId w:val="18"/>
  </w:num>
  <w:num w:numId="21" w16cid:durableId="432095094">
    <w:abstractNumId w:val="1"/>
  </w:num>
  <w:num w:numId="22" w16cid:durableId="136150720">
    <w:abstractNumId w:val="14"/>
  </w:num>
  <w:num w:numId="23" w16cid:durableId="1346900364">
    <w:abstractNumId w:val="6"/>
  </w:num>
  <w:num w:numId="24" w16cid:durableId="8078233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1A0"/>
    <w:rsid w:val="003F41A0"/>
    <w:rsid w:val="00775670"/>
    <w:rsid w:val="00A0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604A0"/>
  <w15:docId w15:val="{F6757EE6-BECB-44CE-9819-D7CB3AEA0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043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marketsandmarkets.com/Market-Reports/digital-health-market-45458752.html" TargetMode="External"/><Relationship Id="rId13" Type="http://schemas.openxmlformats.org/officeDocument/2006/relationships/hyperlink" Target="https://www.endava.com/glossary/digital-health" TargetMode="External"/><Relationship Id="rId18" Type="http://schemas.openxmlformats.org/officeDocument/2006/relationships/hyperlink" Target="https://www.ctel.org/what-is-telehealth"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ging.jmir.org/2025/1/e60936/PDF" TargetMode="External"/><Relationship Id="rId12" Type="http://schemas.openxmlformats.org/officeDocument/2006/relationships/hyperlink" Target="https://telehealthandmedicinetoday.com/index.php/journal/article/view/556/1256" TargetMode="External"/><Relationship Id="rId17" Type="http://schemas.openxmlformats.org/officeDocument/2006/relationships/hyperlink" Target="https://www.updox.com/blog/telehealth-and-chronic-disease-management/" TargetMode="External"/><Relationship Id="rId2" Type="http://schemas.openxmlformats.org/officeDocument/2006/relationships/styles" Target="styles.xml"/><Relationship Id="rId16" Type="http://schemas.openxmlformats.org/officeDocument/2006/relationships/hyperlink" Target="https://www.oracle.com/health/remote-patient-monitoring/" TargetMode="External"/><Relationship Id="rId20" Type="http://schemas.openxmlformats.org/officeDocument/2006/relationships/hyperlink" Target="https://www.ahajournals.org/doi/10.1161/CIR.0000000000001225" TargetMode="External"/><Relationship Id="rId1" Type="http://schemas.openxmlformats.org/officeDocument/2006/relationships/numbering" Target="numbering.xml"/><Relationship Id="rId6" Type="http://schemas.openxmlformats.org/officeDocument/2006/relationships/hyperlink" Target="https://www.grandviewresearch.com/industry-analysis/north-america-digital-health-market-report" TargetMode="External"/><Relationship Id="rId11" Type="http://schemas.openxmlformats.org/officeDocument/2006/relationships/hyperlink" Target="https://www.mahalo.health/insights/the-impact-of-digital-health-on-chronic-disease-management?utm_mpdid=$device:192a212e43514-015578f9e-3e455366-49a10-192a212e43615&amp;utm_mpdid=$device:ec3410fb-92ad-42fc-a443-b084385f117d" TargetMode="External"/><Relationship Id="rId5" Type="http://schemas.openxmlformats.org/officeDocument/2006/relationships/hyperlink" Target="https://yalantis.com/blog/wearable-app-development-for-healthcare/" TargetMode="External"/><Relationship Id="rId15" Type="http://schemas.openxmlformats.org/officeDocument/2006/relationships/hyperlink" Target="https://psnet.ahrq.gov/perspective/remote-patient-monitoring" TargetMode="External"/><Relationship Id="rId10" Type="http://schemas.openxmlformats.org/officeDocument/2006/relationships/hyperlink" Target="https://aging.jmir.org/2024/1/e52317/" TargetMode="External"/><Relationship Id="rId19" Type="http://schemas.openxmlformats.org/officeDocument/2006/relationships/hyperlink" Target="https://stellarix.com/insights/case-studies/wearable-technologies-to-manage-diabetes/" TargetMode="External"/><Relationship Id="rId4" Type="http://schemas.openxmlformats.org/officeDocument/2006/relationships/webSettings" Target="webSettings.xml"/><Relationship Id="rId9" Type="http://schemas.openxmlformats.org/officeDocument/2006/relationships/hyperlink" Target="https://www.marketresearch.com/Diligence-Insights-v4290/Remote-Patient-Monitoring-Size-Share-40988613/" TargetMode="External"/><Relationship Id="rId14" Type="http://schemas.openxmlformats.org/officeDocument/2006/relationships/hyperlink" Target="https://knowledge.healthtechalpha.com/digital-health/our-definition-of-digital-health/"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2987</Words>
  <Characters>17032</Characters>
  <Application>Microsoft Office Word</Application>
  <DocSecurity>0</DocSecurity>
  <Lines>141</Lines>
  <Paragraphs>39</Paragraphs>
  <ScaleCrop>false</ScaleCrop>
  <Company/>
  <LinksUpToDate>false</LinksUpToDate>
  <CharactersWithSpaces>19980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Yogesh Parmar</cp:lastModifiedBy>
  <cp:revision>2</cp:revision>
  <dcterms:created xsi:type="dcterms:W3CDTF">2025-05-24T19:49:00Z</dcterms:created>
  <dcterms:modified xsi:type="dcterms:W3CDTF">2025-05-24T19:50:00Z</dcterms:modified>
</cp:coreProperties>
</file>